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附件</w:t>
      </w:r>
    </w:p>
    <w:p>
      <w:pPr>
        <w:tabs>
          <w:tab w:val="left" w:pos="4500"/>
        </w:tabs>
        <w:autoSpaceDE w:val="0"/>
        <w:autoSpaceDN w:val="0"/>
        <w:spacing w:before="156" w:beforeLines="50"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技术先进型服务业务认定范围（试行）</w:t>
      </w:r>
    </w:p>
    <w:bookmarkEnd w:id="0"/>
    <w:p>
      <w:pPr>
        <w:tabs>
          <w:tab w:val="left" w:pos="4500"/>
        </w:tabs>
        <w:autoSpaceDE w:val="0"/>
        <w:autoSpaceDN w:val="0"/>
        <w:spacing w:line="520" w:lineRule="exact"/>
        <w:rPr>
          <w:rFonts w:eastAsia="仿宋"/>
          <w:color w:val="000000"/>
          <w:sz w:val="30"/>
          <w:szCs w:val="30"/>
        </w:rPr>
      </w:pPr>
    </w:p>
    <w:p>
      <w:pPr>
        <w:tabs>
          <w:tab w:val="left" w:pos="4500"/>
        </w:tabs>
        <w:autoSpaceDN w:val="0"/>
        <w:spacing w:line="5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一、信息技术外包服务（</w:t>
      </w:r>
      <w:r>
        <w:rPr>
          <w:rFonts w:ascii="黑体" w:hAnsi="黑体" w:eastAsia="黑体"/>
          <w:color w:val="000000"/>
          <w:sz w:val="32"/>
          <w:szCs w:val="32"/>
        </w:rPr>
        <w:t>ITO</w:t>
      </w:r>
      <w:r>
        <w:rPr>
          <w:rFonts w:hint="eastAsia" w:ascii="黑体" w:hAnsi="黑体" w:eastAsia="黑体"/>
          <w:color w:val="000000"/>
          <w:sz w:val="32"/>
          <w:szCs w:val="32"/>
        </w:rPr>
        <w:t>）</w:t>
      </w:r>
    </w:p>
    <w:p>
      <w:pPr>
        <w:tabs>
          <w:tab w:val="left" w:pos="4500"/>
        </w:tabs>
        <w:autoSpaceDN w:val="0"/>
        <w:spacing w:before="156" w:beforeLines="50" w:after="156" w:afterLines="50" w:line="520" w:lineRule="exact"/>
        <w:ind w:firstLine="640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（一）软件研发及外包</w:t>
      </w: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76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类　别</w:t>
            </w:r>
          </w:p>
        </w:tc>
        <w:tc>
          <w:tcPr>
            <w:tcW w:w="6684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520" w:lineRule="exact"/>
              <w:jc w:val="center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软件研发及开发服务</w:t>
            </w:r>
          </w:p>
        </w:tc>
        <w:tc>
          <w:tcPr>
            <w:tcW w:w="6684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460" w:lineRule="exact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用于金融、政府、教育、制造业、零售、服务、能源、物流、交通、媒体、电信、公共事业和医疗卫生等部门和企业，为用户的运营／生产／供应链／客户关系／人力资源和财务管理、计算机辅助设计／工程等业务进行软件开发，包括定制软件开发，嵌入式软件、套装软件开发，系统软件开发、软件测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软件技术服务</w:t>
            </w:r>
          </w:p>
        </w:tc>
        <w:tc>
          <w:tcPr>
            <w:tcW w:w="6684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520" w:lineRule="exact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软件咨询、维护、培训、测试等技术性服务。</w:t>
            </w:r>
          </w:p>
        </w:tc>
      </w:tr>
    </w:tbl>
    <w:p>
      <w:pPr>
        <w:tabs>
          <w:tab w:val="left" w:pos="4500"/>
        </w:tabs>
        <w:autoSpaceDN w:val="0"/>
        <w:spacing w:before="156" w:beforeLines="50" w:after="156" w:afterLines="50" w:line="520" w:lineRule="exact"/>
        <w:ind w:firstLine="640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（二）信息技术研发服务外包</w:t>
      </w:r>
    </w:p>
    <w:tbl>
      <w:tblPr>
        <w:tblStyle w:val="7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6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3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类　别</w:t>
            </w:r>
          </w:p>
        </w:tc>
        <w:tc>
          <w:tcPr>
            <w:tcW w:w="6668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3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集成电路和电子电路设计</w:t>
            </w:r>
          </w:p>
        </w:tc>
        <w:tc>
          <w:tcPr>
            <w:tcW w:w="6668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460" w:lineRule="exact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集成电路和电子电路产品设计以及相关技术支持服务等。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3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测试平台</w:t>
            </w:r>
          </w:p>
        </w:tc>
        <w:tc>
          <w:tcPr>
            <w:tcW w:w="6668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460" w:lineRule="exact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为软件、集成电路和电子电路的开发运用提供测试平台。</w:t>
            </w:r>
          </w:p>
        </w:tc>
      </w:tr>
    </w:tbl>
    <w:p>
      <w:pPr>
        <w:tabs>
          <w:tab w:val="left" w:pos="4500"/>
        </w:tabs>
        <w:autoSpaceDN w:val="0"/>
        <w:spacing w:line="520" w:lineRule="exact"/>
        <w:ind w:firstLine="640" w:firstLineChars="200"/>
        <w:rPr>
          <w:rFonts w:ascii="华文仿宋" w:hAnsi="华文仿宋" w:eastAsia="华文仿宋"/>
          <w:color w:val="000000"/>
          <w:sz w:val="32"/>
          <w:szCs w:val="32"/>
        </w:rPr>
      </w:pPr>
    </w:p>
    <w:p>
      <w:pPr>
        <w:tabs>
          <w:tab w:val="left" w:pos="4500"/>
        </w:tabs>
        <w:autoSpaceDN w:val="0"/>
        <w:spacing w:before="156" w:beforeLines="50" w:after="156" w:afterLines="50" w:line="520" w:lineRule="exact"/>
        <w:ind w:firstLine="640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ascii="华文仿宋" w:hAnsi="华文仿宋" w:eastAsia="华文仿宋"/>
          <w:color w:val="000000"/>
          <w:sz w:val="32"/>
          <w:szCs w:val="32"/>
        </w:rPr>
        <w:br w:type="page"/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（三）信息系统运营维护外包</w:t>
      </w:r>
    </w:p>
    <w:tbl>
      <w:tblPr>
        <w:tblStyle w:val="7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6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类　别</w:t>
            </w:r>
          </w:p>
        </w:tc>
        <w:tc>
          <w:tcPr>
            <w:tcW w:w="6659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信息系统运营和维护服务</w:t>
            </w:r>
          </w:p>
        </w:tc>
        <w:tc>
          <w:tcPr>
            <w:tcW w:w="6659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460" w:lineRule="exact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客户内部信息系统集成、网络管理、桌面管理与维护服务；信息工程、地理信息系统、远程维护等信息系统应用服务。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基础信息技术</w:t>
            </w:r>
          </w:p>
          <w:p>
            <w:pPr>
              <w:autoSpaceDN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服务</w:t>
            </w:r>
          </w:p>
        </w:tc>
        <w:tc>
          <w:tcPr>
            <w:tcW w:w="6659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460" w:lineRule="exact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基础信息技术管理平台整合、</w:t>
            </w:r>
            <w:r>
              <w:rPr>
                <w:rFonts w:ascii="仿宋_GB2312" w:hAnsi="宋体" w:eastAsia="仿宋"/>
                <w:color w:val="000000"/>
                <w:sz w:val="30"/>
                <w:szCs w:val="30"/>
              </w:rPr>
              <w:t>IT</w:t>
            </w: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基础设施管理、数据中心、托管中心、安全服务、通讯服务等基础信息技术服务。</w:t>
            </w:r>
          </w:p>
        </w:tc>
      </w:tr>
    </w:tbl>
    <w:p>
      <w:pPr>
        <w:tabs>
          <w:tab w:val="left" w:pos="4500"/>
        </w:tabs>
        <w:autoSpaceDN w:val="0"/>
        <w:spacing w:line="5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tabs>
          <w:tab w:val="left" w:pos="4500"/>
        </w:tabs>
        <w:autoSpaceDN w:val="0"/>
        <w:spacing w:after="156" w:afterLines="50" w:line="52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  二、技术性业务流程外包服务（</w:t>
      </w:r>
      <w:r>
        <w:rPr>
          <w:rFonts w:ascii="黑体" w:hAnsi="黑体" w:eastAsia="黑体"/>
          <w:color w:val="000000"/>
          <w:sz w:val="32"/>
          <w:szCs w:val="32"/>
        </w:rPr>
        <w:t>BPO</w:t>
      </w:r>
      <w:r>
        <w:rPr>
          <w:rFonts w:hint="eastAsia" w:ascii="黑体" w:hAnsi="黑体" w:eastAsia="黑体"/>
          <w:color w:val="000000"/>
          <w:sz w:val="32"/>
          <w:szCs w:val="32"/>
        </w:rPr>
        <w:t>）</w:t>
      </w:r>
    </w:p>
    <w:tbl>
      <w:tblPr>
        <w:tblStyle w:val="7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6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  <w:jc w:val="center"/>
        </w:trPr>
        <w:tc>
          <w:tcPr>
            <w:tcW w:w="2407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类</w:t>
            </w:r>
            <w:r>
              <w:rPr>
                <w:rFonts w:ascii="仿宋_GB2312" w:hAnsi="宋体" w:eastAsia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别</w:t>
            </w:r>
          </w:p>
        </w:tc>
        <w:tc>
          <w:tcPr>
            <w:tcW w:w="6654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40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pacing w:val="-4"/>
                <w:sz w:val="30"/>
                <w:szCs w:val="30"/>
              </w:rPr>
              <w:t>企业业务流程设计服务</w:t>
            </w:r>
          </w:p>
        </w:tc>
        <w:tc>
          <w:tcPr>
            <w:tcW w:w="6654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460" w:lineRule="exact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为客户企业提供内部管理、业务运作等流程设计服务。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407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企业内部管理</w:t>
            </w:r>
          </w:p>
          <w:p>
            <w:pPr>
              <w:autoSpaceDN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服务</w:t>
            </w:r>
          </w:p>
        </w:tc>
        <w:tc>
          <w:tcPr>
            <w:tcW w:w="6654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460" w:lineRule="exact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为客户企业提供后台管理、人力资源管理、财务、审计与税务管理、金融支付服务、医疗数据及其他内部管理业务的数据分析、数据挖掘、数据管理、数据使用的服务；承接客户专业数据处理、分析和整合服务。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407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企业运营服务</w:t>
            </w:r>
          </w:p>
        </w:tc>
        <w:tc>
          <w:tcPr>
            <w:tcW w:w="6654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460" w:lineRule="exact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为客户企业提供技术研发服务、为企业经营、销售、产品售后服务提供的应用客户分析、数据库管理等服务。主要包括金融服务业务、政务与教育业务、制造业务和生命科学、零售和批发与运输业务、卫生保健业务、通讯与公共事业业务、呼叫中心、电子商务平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2407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企业供应链管理服务</w:t>
            </w:r>
          </w:p>
        </w:tc>
        <w:tc>
          <w:tcPr>
            <w:tcW w:w="6654" w:type="dxa"/>
            <w:tcMar>
              <w:top w:w="113" w:type="dxa"/>
              <w:bottom w:w="113" w:type="dxa"/>
            </w:tcMar>
            <w:vAlign w:val="center"/>
          </w:tcPr>
          <w:p>
            <w:pPr>
              <w:autoSpaceDN w:val="0"/>
              <w:spacing w:line="460" w:lineRule="exact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为客户企业提供采购、物流的整体方案设计及数据库服务。</w:t>
            </w:r>
          </w:p>
        </w:tc>
      </w:tr>
    </w:tbl>
    <w:p>
      <w:pPr>
        <w:tabs>
          <w:tab w:val="left" w:pos="4500"/>
        </w:tabs>
        <w:autoSpaceDN w:val="0"/>
        <w:spacing w:line="52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tabs>
          <w:tab w:val="left" w:pos="4500"/>
        </w:tabs>
        <w:autoSpaceDN w:val="0"/>
        <w:spacing w:after="156" w:afterLines="50" w:line="5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三、技术性知识流程外包服务（</w:t>
      </w:r>
      <w:r>
        <w:rPr>
          <w:rFonts w:ascii="黑体" w:hAnsi="黑体" w:eastAsia="黑体"/>
          <w:color w:val="000000"/>
          <w:sz w:val="32"/>
          <w:szCs w:val="32"/>
        </w:rPr>
        <w:t>KPO</w:t>
      </w:r>
      <w:r>
        <w:rPr>
          <w:rFonts w:hint="eastAsia" w:ascii="黑体" w:hAnsi="黑体" w:eastAsia="黑体"/>
          <w:color w:val="000000"/>
          <w:sz w:val="32"/>
          <w:szCs w:val="32"/>
        </w:rPr>
        <w:t>）</w:t>
      </w:r>
    </w:p>
    <w:tbl>
      <w:tblPr>
        <w:tblStyle w:val="7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61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520" w:lineRule="exact"/>
              <w:jc w:val="center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061" w:type="dxa"/>
            <w:tcMar>
              <w:top w:w="113" w:type="dxa"/>
              <w:bottom w:w="113" w:type="dxa"/>
            </w:tcMar>
            <w:vAlign w:val="center"/>
          </w:tcPr>
          <w:p>
            <w:pPr>
              <w:tabs>
                <w:tab w:val="left" w:pos="4500"/>
              </w:tabs>
              <w:autoSpaceDN w:val="0"/>
              <w:spacing w:line="460" w:lineRule="exact"/>
              <w:rPr>
                <w:rFonts w:ascii="仿宋_GB2312" w:hAnsi="宋体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"/>
                <w:color w:val="000000"/>
                <w:sz w:val="30"/>
                <w:szCs w:val="30"/>
              </w:rPr>
              <w:t>知识产权研究、医药和生物技术研发和测试、产品技术研发、工业设计、分析学和数据挖掘、动漫及网游设计研发、教育课件研发、工程设计等领域。</w:t>
            </w:r>
          </w:p>
        </w:tc>
      </w:tr>
    </w:tbl>
    <w:p/>
    <w:p>
      <w:pPr>
        <w:pStyle w:val="4"/>
        <w:widowControl w:val="0"/>
        <w:shd w:val="clear" w:color="auto" w:fill="FFFFFF"/>
        <w:spacing w:before="156" w:beforeLines="50" w:beforeAutospacing="0" w:after="0" w:afterAutospacing="0"/>
        <w:jc w:val="center"/>
        <w:rPr>
          <w:rFonts w:hint="eastAsia" w:ascii="仿宋_GB2312" w:eastAsia="仿宋"/>
          <w:color w:val="000000"/>
          <w:sz w:val="32"/>
          <w:szCs w:val="32"/>
        </w:rPr>
      </w:pPr>
    </w:p>
    <w:p>
      <w:pPr>
        <w:pStyle w:val="4"/>
        <w:widowControl w:val="0"/>
        <w:shd w:val="clear" w:color="auto" w:fill="FFFFFF"/>
        <w:adjustRightInd w:val="0"/>
        <w:snapToGrid w:val="0"/>
        <w:spacing w:before="312" w:beforeLines="100" w:beforeAutospacing="0" w:after="0" w:afterAutospacing="0" w:line="520" w:lineRule="exact"/>
        <w:ind w:left="5250"/>
        <w:rPr>
          <w:rFonts w:hint="eastAsia" w:ascii="仿宋_GB2312" w:eastAsia="仿宋"/>
          <w:color w:val="000000"/>
          <w:sz w:val="32"/>
          <w:szCs w:val="32"/>
        </w:rPr>
      </w:pP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5250"/>
        <w:rPr>
          <w:rFonts w:hint="eastAsia" w:ascii="仿宋_GB2312" w:eastAsia="仿宋"/>
          <w:color w:val="000000"/>
          <w:sz w:val="32"/>
          <w:szCs w:val="32"/>
        </w:rPr>
      </w:pPr>
    </w:p>
    <w:p>
      <w:pPr>
        <w:pStyle w:val="4"/>
        <w:widowControl w:val="0"/>
        <w:shd w:val="clear" w:color="auto" w:fill="FFFFFF"/>
        <w:adjustRightInd w:val="0"/>
        <w:snapToGrid w:val="0"/>
        <w:spacing w:before="156" w:beforeLines="50" w:beforeAutospacing="0" w:after="0" w:afterAutospacing="0" w:line="240" w:lineRule="exact"/>
        <w:ind w:left="5250"/>
        <w:rPr>
          <w:rFonts w:hint="eastAsia" w:ascii="仿宋_GB2312" w:eastAsia="仿宋"/>
          <w:color w:val="000000"/>
          <w:sz w:val="32"/>
          <w:szCs w:val="32"/>
        </w:rPr>
      </w:pPr>
    </w:p>
    <w:p>
      <w:pPr>
        <w:pStyle w:val="4"/>
        <w:widowControl w:val="0"/>
        <w:shd w:val="clear" w:color="auto" w:fill="FFFFFF"/>
        <w:adjustRightInd w:val="0"/>
        <w:snapToGrid w:val="0"/>
        <w:spacing w:before="156" w:beforeLines="50" w:beforeAutospacing="0" w:after="0" w:afterAutospacing="0" w:line="240" w:lineRule="exact"/>
        <w:ind w:left="5250"/>
        <w:rPr>
          <w:rFonts w:hint="eastAsia" w:ascii="仿宋_GB2312" w:eastAsia="仿宋"/>
          <w:color w:val="000000"/>
          <w:sz w:val="32"/>
          <w:szCs w:val="32"/>
        </w:rPr>
      </w:pPr>
    </w:p>
    <w:p>
      <w:pPr>
        <w:pStyle w:val="4"/>
        <w:widowControl w:val="0"/>
        <w:shd w:val="clear" w:color="auto" w:fill="FFFFFF"/>
        <w:adjustRightInd w:val="0"/>
        <w:snapToGrid w:val="0"/>
        <w:spacing w:before="156" w:beforeLines="50" w:beforeAutospacing="0" w:after="0" w:afterAutospacing="0" w:line="240" w:lineRule="exact"/>
        <w:ind w:left="5250"/>
        <w:rPr>
          <w:rFonts w:hint="eastAsia" w:ascii="仿宋_GB2312" w:eastAsia="仿宋"/>
          <w:color w:val="000000"/>
          <w:sz w:val="32"/>
          <w:szCs w:val="32"/>
        </w:rPr>
      </w:pPr>
    </w:p>
    <w:p>
      <w:pPr>
        <w:pStyle w:val="4"/>
        <w:widowControl w:val="0"/>
        <w:shd w:val="clear" w:color="auto" w:fill="FFFFFF"/>
        <w:adjustRightInd w:val="0"/>
        <w:snapToGrid w:val="0"/>
        <w:spacing w:before="156" w:beforeLines="50" w:beforeAutospacing="0" w:after="0" w:afterAutospacing="0" w:line="240" w:lineRule="exact"/>
        <w:ind w:left="5250"/>
        <w:rPr>
          <w:rFonts w:hint="eastAsia" w:ascii="仿宋_GB2312" w:eastAsia="仿宋"/>
          <w:color w:val="000000"/>
          <w:sz w:val="32"/>
          <w:szCs w:val="32"/>
        </w:rPr>
      </w:pPr>
    </w:p>
    <w:p>
      <w:pPr>
        <w:pStyle w:val="4"/>
        <w:widowControl w:val="0"/>
        <w:shd w:val="clear" w:color="auto" w:fill="FFFFFF"/>
        <w:adjustRightInd w:val="0"/>
        <w:snapToGrid w:val="0"/>
        <w:spacing w:before="156" w:beforeLines="50" w:beforeAutospacing="0" w:after="0" w:afterAutospacing="0" w:line="240" w:lineRule="exact"/>
        <w:ind w:left="5250"/>
        <w:rPr>
          <w:rFonts w:hint="eastAsia" w:ascii="仿宋_GB2312" w:eastAsia="仿宋"/>
          <w:color w:val="000000"/>
          <w:sz w:val="32"/>
          <w:szCs w:val="32"/>
        </w:rPr>
      </w:pPr>
    </w:p>
    <w:p>
      <w:pPr>
        <w:pStyle w:val="4"/>
        <w:widowControl w:val="0"/>
        <w:shd w:val="clear" w:color="auto" w:fill="FFFFFF"/>
        <w:adjustRightInd w:val="0"/>
        <w:snapToGrid w:val="0"/>
        <w:spacing w:before="156" w:beforeLines="50" w:beforeAutospacing="0" w:after="0" w:afterAutospacing="0" w:line="240" w:lineRule="exact"/>
        <w:ind w:left="5250"/>
        <w:rPr>
          <w:rFonts w:hint="eastAsia" w:ascii="仿宋_GB2312" w:eastAsia="仿宋"/>
          <w:color w:val="000000"/>
          <w:sz w:val="32"/>
          <w:szCs w:val="32"/>
        </w:rPr>
      </w:pP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5250"/>
        <w:rPr>
          <w:rFonts w:hint="eastAsia" w:ascii="仿宋_GB2312" w:eastAsia="仿宋"/>
          <w:color w:val="000000"/>
          <w:sz w:val="32"/>
          <w:szCs w:val="32"/>
        </w:rPr>
      </w:pPr>
    </w:p>
    <w:p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415290</wp:posOffset>
                </wp:positionV>
                <wp:extent cx="571500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4.9pt;margin-top:32.7pt;height:0pt;width:450pt;z-index:251662336;mso-width-relative:page;mso-height-relative:page;" coordsize="21600,21600" o:gfxdata="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1non9cAAAAIAQAADwAAAAAAAAABACAAAAAiAAAAZHJz&#10;L2Rvd25yZXYueG1sUEsBAhQAFAAAAAgAh07iQDERGp7MAQAAjgMAAA4AAAAAAAAAAQAgAAAAJgEA&#10;AGRycy9lMm9Eb2MueG1sUEsFBgAAAAAGAAYAWQEAAGQ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19050</wp:posOffset>
                </wp:positionV>
                <wp:extent cx="57150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4.9pt;margin-top:1.5pt;height:0pt;width:450pt;z-index:251661312;mso-width-relative:page;mso-height-relative:page;" coordsize="21600,21600" o:gfxdata="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UILvNUAAAAGAQAADwAAAAAAAAABACAAAAAiAAAAZHJzL2Rv&#10;d25yZXYueG1sUEsBAhQAFAAAAAgAh07iQAOP56DLAQAAjgMAAA4AAAAAAAAAAQAgAAAAJAEAAGRy&#10;cy9lMm9Eb2MueG1sUEsFBgAAAAAGAAYAWQEAAGE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山东省科学技术厅办公室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 xml:space="preserve">      201</w:t>
      </w:r>
      <w:r>
        <w:rPr>
          <w:rFonts w:hint="eastAsia" w:ascii="仿宋_GB2312" w:eastAsia="仿宋_GB2312"/>
          <w:sz w:val="28"/>
          <w:szCs w:val="28"/>
        </w:rPr>
        <w:t>8年1月19日印发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31" w:bottom="1985" w:left="1531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5756F"/>
    <w:rsid w:val="6B1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2018-02-05T08:36:00Z</dcterms:created>
  <dc:creator>董天</dc:creator>
  <cp:lastModifiedBy>董天</cp:lastModifiedBy>
  <dcterms:modified xsi:type="dcterms:W3CDTF">2018-02-05T08:37:11Z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