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</w:t>
      </w:r>
    </w:p>
    <w:p>
      <w:pPr>
        <w:tabs>
          <w:tab w:val="left" w:pos="4500"/>
        </w:tabs>
        <w:autoSpaceDE w:val="0"/>
        <w:autoSpaceDN w:val="0"/>
        <w:spacing w:before="156" w:beforeLines="50"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技术先进型服务业务认定范围（试行）</w:t>
      </w:r>
    </w:p>
    <w:bookmarkEnd w:id="0"/>
    <w:p>
      <w:pPr>
        <w:tabs>
          <w:tab w:val="left" w:pos="4500"/>
        </w:tabs>
        <w:autoSpaceDE w:val="0"/>
        <w:autoSpaceDN w:val="0"/>
        <w:spacing w:line="520" w:lineRule="exact"/>
        <w:rPr>
          <w:rFonts w:eastAsia="仿宋"/>
          <w:color w:val="000000"/>
          <w:sz w:val="30"/>
          <w:szCs w:val="30"/>
        </w:rPr>
      </w:pPr>
    </w:p>
    <w:p>
      <w:pPr>
        <w:tabs>
          <w:tab w:val="left" w:pos="4500"/>
        </w:tabs>
        <w:autoSpaceDN w:val="0"/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一、信息技术外包服务（</w:t>
      </w:r>
      <w:r>
        <w:rPr>
          <w:rFonts w:ascii="黑体" w:hAnsi="黑体" w:eastAsia="黑体"/>
          <w:color w:val="000000"/>
          <w:sz w:val="32"/>
          <w:szCs w:val="32"/>
        </w:rPr>
        <w:t>ITO</w:t>
      </w:r>
      <w:r>
        <w:rPr>
          <w:rFonts w:hint="eastAsia" w:ascii="黑体" w:hAnsi="黑体" w:eastAsia="黑体"/>
          <w:color w:val="000000"/>
          <w:sz w:val="32"/>
          <w:szCs w:val="32"/>
        </w:rPr>
        <w:t>）</w:t>
      </w:r>
    </w:p>
    <w:p>
      <w:pPr>
        <w:tabs>
          <w:tab w:val="left" w:pos="4500"/>
        </w:tabs>
        <w:autoSpaceDN w:val="0"/>
        <w:spacing w:before="156" w:beforeLines="50" w:after="156" w:afterLines="50" w:line="52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（一）软件研发及外包</w:t>
      </w:r>
    </w:p>
    <w:tbl>
      <w:tblPr>
        <w:tblStyle w:val="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类　别</w:t>
            </w:r>
          </w:p>
        </w:tc>
        <w:tc>
          <w:tcPr>
            <w:tcW w:w="668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520" w:lineRule="exact"/>
              <w:jc w:val="center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软件研发及开发服务</w:t>
            </w:r>
          </w:p>
        </w:tc>
        <w:tc>
          <w:tcPr>
            <w:tcW w:w="668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软件技术服务</w:t>
            </w:r>
          </w:p>
        </w:tc>
        <w:tc>
          <w:tcPr>
            <w:tcW w:w="668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52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软件咨询、维护、培训、测试等技术性服务。</w:t>
            </w:r>
          </w:p>
        </w:tc>
      </w:tr>
    </w:tbl>
    <w:p>
      <w:pPr>
        <w:tabs>
          <w:tab w:val="left" w:pos="4500"/>
        </w:tabs>
        <w:autoSpaceDN w:val="0"/>
        <w:spacing w:before="156" w:beforeLines="50" w:after="156" w:afterLines="50" w:line="52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（二）信息技术研发服务外包</w:t>
      </w:r>
    </w:p>
    <w:tbl>
      <w:tblPr>
        <w:tblStyle w:val="7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3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类　别</w:t>
            </w:r>
          </w:p>
        </w:tc>
        <w:tc>
          <w:tcPr>
            <w:tcW w:w="6668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3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集成电路和电子电路设计</w:t>
            </w:r>
          </w:p>
        </w:tc>
        <w:tc>
          <w:tcPr>
            <w:tcW w:w="6668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集成电路和电子电路产品设计以及相关技术支持服务等。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3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测试平台</w:t>
            </w:r>
          </w:p>
        </w:tc>
        <w:tc>
          <w:tcPr>
            <w:tcW w:w="6668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为软件、集成电路和电子电路的开发运用提供测试平台。</w:t>
            </w:r>
          </w:p>
        </w:tc>
      </w:tr>
    </w:tbl>
    <w:p>
      <w:pPr>
        <w:tabs>
          <w:tab w:val="left" w:pos="4500"/>
        </w:tabs>
        <w:autoSpaceDN w:val="0"/>
        <w:spacing w:line="52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tabs>
          <w:tab w:val="left" w:pos="4500"/>
        </w:tabs>
        <w:autoSpaceDN w:val="0"/>
        <w:spacing w:before="156" w:beforeLines="50" w:after="156" w:afterLines="50" w:line="52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ascii="华文仿宋" w:hAnsi="华文仿宋" w:eastAsia="华文仿宋"/>
          <w:color w:val="000000"/>
          <w:sz w:val="32"/>
          <w:szCs w:val="32"/>
        </w:rPr>
        <w:br w:type="page"/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（三）信息系统运营维护外包</w:t>
      </w:r>
    </w:p>
    <w:tbl>
      <w:tblPr>
        <w:tblStyle w:val="7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6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类　别</w:t>
            </w:r>
          </w:p>
        </w:tc>
        <w:tc>
          <w:tcPr>
            <w:tcW w:w="6659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信息系统运营和维护服务</w:t>
            </w:r>
          </w:p>
        </w:tc>
        <w:tc>
          <w:tcPr>
            <w:tcW w:w="6659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02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基础信息技术</w:t>
            </w:r>
          </w:p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服务</w:t>
            </w:r>
          </w:p>
        </w:tc>
        <w:tc>
          <w:tcPr>
            <w:tcW w:w="6659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基础信息技术管理平台整合、</w:t>
            </w:r>
            <w:r>
              <w:rPr>
                <w:rFonts w:ascii="仿宋_GB2312" w:hAnsi="宋体" w:eastAsia="仿宋"/>
                <w:color w:val="000000"/>
                <w:sz w:val="30"/>
                <w:szCs w:val="30"/>
              </w:rPr>
              <w:t>IT</w:t>
            </w: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基础设施管理、数据中心、托管中心、安全服务、通讯服务等基础信息技术服务。</w:t>
            </w:r>
          </w:p>
        </w:tc>
      </w:tr>
    </w:tbl>
    <w:p>
      <w:pPr>
        <w:tabs>
          <w:tab w:val="left" w:pos="4500"/>
        </w:tabs>
        <w:autoSpaceDN w:val="0"/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tabs>
          <w:tab w:val="left" w:pos="4500"/>
        </w:tabs>
        <w:autoSpaceDN w:val="0"/>
        <w:spacing w:after="156" w:afterLines="5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二、技术性业务流程外包服务（</w:t>
      </w:r>
      <w:r>
        <w:rPr>
          <w:rFonts w:ascii="黑体" w:hAnsi="黑体" w:eastAsia="黑体"/>
          <w:color w:val="000000"/>
          <w:sz w:val="32"/>
          <w:szCs w:val="32"/>
        </w:rPr>
        <w:t>BPO</w:t>
      </w:r>
      <w:r>
        <w:rPr>
          <w:rFonts w:hint="eastAsia" w:ascii="黑体" w:hAnsi="黑体" w:eastAsia="黑体"/>
          <w:color w:val="000000"/>
          <w:sz w:val="32"/>
          <w:szCs w:val="32"/>
        </w:rPr>
        <w:t>）</w:t>
      </w:r>
    </w:p>
    <w:tbl>
      <w:tblPr>
        <w:tblStyle w:val="7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  <w:jc w:val="center"/>
        </w:trPr>
        <w:tc>
          <w:tcPr>
            <w:tcW w:w="2407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类</w:t>
            </w:r>
            <w:r>
              <w:rPr>
                <w:rFonts w:ascii="仿宋_GB2312" w:hAnsi="宋体" w:eastAsia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665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407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pacing w:val="-4"/>
                <w:sz w:val="30"/>
                <w:szCs w:val="30"/>
              </w:rPr>
              <w:t>企业业务流程设计服务</w:t>
            </w:r>
          </w:p>
        </w:tc>
        <w:tc>
          <w:tcPr>
            <w:tcW w:w="665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为客户企业提供内部管理、业务运作等流程设计服务。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2407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企业内部管理</w:t>
            </w:r>
          </w:p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服务</w:t>
            </w:r>
          </w:p>
        </w:tc>
        <w:tc>
          <w:tcPr>
            <w:tcW w:w="665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407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企业运营服务</w:t>
            </w:r>
          </w:p>
        </w:tc>
        <w:tc>
          <w:tcPr>
            <w:tcW w:w="6654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407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企业供应链管理服务</w:t>
            </w:r>
          </w:p>
        </w:tc>
        <w:tc>
          <w:tcPr>
            <w:tcW w:w="6654" w:type="dxa"/>
            <w:tcMar>
              <w:top w:w="113" w:type="dxa"/>
              <w:bottom w:w="113" w:type="dxa"/>
            </w:tcMar>
            <w:vAlign w:val="center"/>
          </w:tcPr>
          <w:p>
            <w:pPr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为客户企业提供采购、物流的整体方案设计及数据库服务。</w:t>
            </w:r>
          </w:p>
        </w:tc>
      </w:tr>
    </w:tbl>
    <w:p>
      <w:pPr>
        <w:tabs>
          <w:tab w:val="left" w:pos="4500"/>
        </w:tabs>
        <w:autoSpaceDN w:val="0"/>
        <w:spacing w:line="52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tabs>
          <w:tab w:val="left" w:pos="4500"/>
        </w:tabs>
        <w:autoSpaceDN w:val="0"/>
        <w:spacing w:after="156" w:afterLines="50"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三、技术性知识流程外包服务（</w:t>
      </w:r>
      <w:r>
        <w:rPr>
          <w:rFonts w:ascii="黑体" w:hAnsi="黑体" w:eastAsia="黑体"/>
          <w:color w:val="000000"/>
          <w:sz w:val="32"/>
          <w:szCs w:val="32"/>
        </w:rPr>
        <w:t>KPO</w:t>
      </w:r>
      <w:r>
        <w:rPr>
          <w:rFonts w:hint="eastAsia" w:ascii="黑体" w:hAnsi="黑体" w:eastAsia="黑体"/>
          <w:color w:val="000000"/>
          <w:sz w:val="32"/>
          <w:szCs w:val="32"/>
        </w:rPr>
        <w:t>）</w:t>
      </w:r>
    </w:p>
    <w:tbl>
      <w:tblPr>
        <w:tblStyle w:val="7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061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520" w:lineRule="exact"/>
              <w:jc w:val="center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061" w:type="dxa"/>
            <w:tcMar>
              <w:top w:w="113" w:type="dxa"/>
              <w:bottom w:w="113" w:type="dxa"/>
            </w:tcMar>
            <w:vAlign w:val="center"/>
          </w:tcPr>
          <w:p>
            <w:pPr>
              <w:tabs>
                <w:tab w:val="left" w:pos="4500"/>
              </w:tabs>
              <w:autoSpaceDN w:val="0"/>
              <w:spacing w:line="460" w:lineRule="exact"/>
              <w:rPr>
                <w:rFonts w:ascii="仿宋_GB2312" w:hAnsi="宋体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color w:val="000000"/>
                <w:sz w:val="30"/>
                <w:szCs w:val="30"/>
              </w:rPr>
              <w:t>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/>
    <w:p>
      <w:pPr>
        <w:pStyle w:val="4"/>
        <w:widowControl w:val="0"/>
        <w:shd w:val="clear" w:color="auto" w:fill="FFFFFF"/>
        <w:spacing w:before="156" w:beforeLines="50" w:beforeAutospacing="0" w:after="0" w:afterAutospacing="0"/>
        <w:jc w:val="center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312" w:beforeLines="100" w:beforeAutospacing="0" w:after="0" w:afterAutospacing="0" w:line="52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156" w:beforeLines="50" w:beforeAutospacing="0" w:after="0" w:afterAutospacing="0" w:line="24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156" w:beforeLines="50" w:beforeAutospacing="0" w:after="0" w:afterAutospacing="0" w:line="24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156" w:beforeLines="50" w:beforeAutospacing="0" w:after="0" w:afterAutospacing="0" w:line="24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156" w:beforeLines="50" w:beforeAutospacing="0" w:after="0" w:afterAutospacing="0" w:line="24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156" w:beforeLines="50" w:beforeAutospacing="0" w:after="0" w:afterAutospacing="0" w:line="24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156" w:beforeLines="50" w:beforeAutospacing="0" w:after="0" w:afterAutospacing="0" w:line="24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left="5250"/>
        <w:rPr>
          <w:rFonts w:hint="eastAsia" w:ascii="仿宋_GB2312" w:eastAsia="仿宋"/>
          <w:color w:val="000000"/>
          <w:sz w:val="32"/>
          <w:szCs w:val="32"/>
        </w:rPr>
      </w:pPr>
    </w:p>
    <w:p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415290</wp:posOffset>
                </wp:positionV>
                <wp:extent cx="57150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.9pt;margin-top:32.7pt;height:0pt;width:450pt;z-index:251662336;mso-width-relative:page;mso-height-relative:page;" coordsize="21600,21600" o:gfxdata="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1non9cAAAAIAQAADwAAAAAAAAABACAAAAAiAAAAZHJz&#10;L2Rvd25yZXYueG1sUEsBAhQAFAAAAAgAh07iQDERGp7MAQAAjgMAAA4AAAAAAAAAAQAgAAAAJgEA&#10;AGRycy9lMm9Eb2MueG1sUEsFBgAAAAAGAAYAWQEAAGQ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19050</wp:posOffset>
                </wp:positionV>
                <wp:extent cx="57150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4.9pt;margin-top:1.5pt;height:0pt;width:450pt;z-index:251661312;mso-width-relative:page;mso-height-relative:page;" coordsize="21600,21600" o:gfxdata="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UILvNUAAAAGAQAADwAAAAAAAAABACAAAAAiAAAAZHJzL2Rv&#10;d25yZXYueG1sUEsBAhQAFAAAAAgAh07iQAOP56DLAQAAjgMAAA4AAAAAAAAAAQAgAAAAJAEAAGRy&#10;cy9lMm9Eb2MueG1sUEsFBgAAAAAGAAYAWQEAAGE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山东省科学技术厅办公室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    201</w:t>
      </w:r>
      <w:r>
        <w:rPr>
          <w:rFonts w:hint="eastAsia" w:ascii="仿宋_GB2312" w:eastAsia="仿宋_GB2312"/>
          <w:sz w:val="28"/>
          <w:szCs w:val="28"/>
        </w:rPr>
        <w:t>8年1月19日印发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31" w:bottom="1985" w:left="1531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XBSJW--GB1-0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756F"/>
    <w:rsid w:val="6B1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2018-02-05T08:36:00Z</dcterms:created>
  <dc:creator>董天</dc:creator>
  <cp:lastModifiedBy>董天</cp:lastModifiedBy>
  <dcterms:modified xsi:type="dcterms:W3CDTF">2018-02-05T08:37:11Z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