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2:</w:t>
      </w:r>
    </w:p>
    <w:p>
      <w:pPr>
        <w:jc w:val="center"/>
        <w:rPr>
          <w:rFonts w:ascii="黑体" w:hAnsi="黑体" w:eastAsia="黑体" w:cs="宋体"/>
          <w:kern w:val="0"/>
          <w:sz w:val="8"/>
          <w:szCs w:val="8"/>
        </w:rPr>
      </w:pP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</w:rPr>
        <w:t>2015</w:t>
      </w:r>
      <w:r>
        <w:rPr>
          <w:rFonts w:hint="eastAsia" w:ascii="黑体" w:hAnsi="黑体" w:eastAsia="黑体" w:cs="宋体"/>
          <w:kern w:val="0"/>
          <w:sz w:val="44"/>
          <w:szCs w:val="44"/>
        </w:rPr>
        <w:t>届毕业生双选会参会企业登记表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W w:w="89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389"/>
        <w:gridCol w:w="709"/>
        <w:gridCol w:w="142"/>
        <w:gridCol w:w="1098"/>
        <w:gridCol w:w="414"/>
        <w:gridCol w:w="813"/>
        <w:gridCol w:w="1748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海信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山东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空调有限公司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青岛平度南村镇海信路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股份制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李颖</w:t>
            </w:r>
            <w:r>
              <w:rPr>
                <w:sz w:val="24"/>
                <w:szCs w:val="24"/>
              </w:rPr>
              <w:t xml:space="preserve">    15726207719  18661999137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535" w:type="dxa"/>
            <w:gridSpan w:val="8"/>
            <w:vAlign w:val="center"/>
          </w:tcPr>
          <w:p>
            <w:pPr>
              <w:spacing w:line="300" w:lineRule="auto"/>
              <w:ind w:firstLine="3168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海信（山东）空调有限公司是海信集团投资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亿元人民币，引进国际领先的变频空调技术与生产线，于一九九六年组建的现代化企业。公司位于平度市海信家电工业园，占地</w:t>
            </w:r>
            <w:r>
              <w:rPr>
                <w:rFonts w:ascii="宋体" w:hAnsi="宋体"/>
                <w:sz w:val="24"/>
                <w:szCs w:val="24"/>
              </w:rPr>
              <w:t>700</w:t>
            </w:r>
            <w:r>
              <w:rPr>
                <w:rFonts w:hint="eastAsia" w:ascii="宋体" w:hAnsi="宋体"/>
                <w:sz w:val="24"/>
                <w:szCs w:val="24"/>
              </w:rPr>
              <w:t>亩，以家用空调机及小型商用空调为主导产品，年产变频空调</w:t>
            </w:r>
            <w:r>
              <w:rPr>
                <w:rFonts w:ascii="宋体" w:hAnsi="宋体"/>
                <w:sz w:val="24"/>
                <w:szCs w:val="24"/>
              </w:rPr>
              <w:t>230</w:t>
            </w:r>
            <w:r>
              <w:rPr>
                <w:rFonts w:hint="eastAsia" w:ascii="宋体" w:hAnsi="宋体"/>
                <w:sz w:val="24"/>
                <w:szCs w:val="24"/>
              </w:rPr>
              <w:t>万套，年产值</w:t>
            </w:r>
            <w:r>
              <w:rPr>
                <w:rFonts w:ascii="宋体" w:hAnsi="宋体"/>
                <w:sz w:val="24"/>
                <w:szCs w:val="24"/>
              </w:rPr>
              <w:t>35</w:t>
            </w:r>
            <w:r>
              <w:rPr>
                <w:rFonts w:hint="eastAsia" w:ascii="宋体" w:hAnsi="宋体"/>
                <w:sz w:val="24"/>
                <w:szCs w:val="24"/>
              </w:rPr>
              <w:t>亿元人民币。</w:t>
            </w:r>
          </w:p>
          <w:p>
            <w:pPr>
              <w:adjustRightInd w:val="0"/>
              <w:snapToGrid w:val="0"/>
              <w:spacing w:line="300" w:lineRule="auto"/>
              <w:ind w:firstLine="316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作为海信集团的主导产业，海信空调将以“国内一流企业，国际知名品牌”为目标，不断在经营规模与综合效益上实现质的飞跃。</w:t>
            </w:r>
          </w:p>
          <w:p>
            <w:pPr>
              <w:spacing w:line="300" w:lineRule="auto"/>
              <w:ind w:firstLine="316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海信拥有国家级企业技术中心，建有国家一流的博士后科研工作站，是全国高新技术企业、全国技术创新基地。科学高效的技术创新体系使海信的技术始终走在国内同行的前列，</w:t>
            </w:r>
            <w:r>
              <w:rPr>
                <w:rFonts w:ascii="宋体" w:hAnsi="宋体"/>
                <w:sz w:val="24"/>
                <w:szCs w:val="24"/>
              </w:rPr>
              <w:t>2005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月，我国第一块自主知识产权的、产业化的数字视频媒体处理芯片在海信诞生，此举打破了国外垄断的历史。</w:t>
            </w:r>
            <w:r>
              <w:rPr>
                <w:rFonts w:ascii="宋体"/>
                <w:sz w:val="24"/>
                <w:szCs w:val="24"/>
              </w:rPr>
              <w:br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目前，海信在南非、匈牙利、法国等地拥有生产基地，在美国、欧洲、澳洲、日本等地设有销售机构，产品远销欧洲、美洲、非洲、东南亚等</w:t>
            </w: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</w:rPr>
              <w:t>多个国家和地区。</w:t>
            </w:r>
          </w:p>
          <w:p>
            <w:pPr>
              <w:adjustRightInd w:val="0"/>
              <w:snapToGrid w:val="0"/>
              <w:spacing w:line="300" w:lineRule="auto"/>
              <w:ind w:firstLine="316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招聘条件：</w:t>
            </w:r>
          </w:p>
          <w:tbl>
            <w:tblPr>
              <w:tblW w:w="114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6"/>
              <w:gridCol w:w="5788"/>
              <w:gridCol w:w="1044"/>
              <w:gridCol w:w="1044"/>
              <w:gridCol w:w="1044"/>
              <w:gridCol w:w="10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6" w:type="dxa"/>
              </w:trPr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tabs>
                      <w:tab w:val="left" w:pos="542"/>
                    </w:tabs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海信（山东）空调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学历、专业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中专，高中，技校，职高，大专，机电一体化技术，机械设计与制造，数控技术，制冷与空调技术，电子信息工程技术，计算机应用、机电一体化。如果不是这几个专业的学生想来企业，我们企业是带薪的免费培训</w:t>
                  </w:r>
                </w:p>
              </w:tc>
              <w:tc>
                <w:tcPr>
                  <w:tcW w:w="1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6" w:type="dxa"/>
              </w:trPr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身体条件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男：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160CM</w:t>
                  </w: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以上，女：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150CM</w:t>
                  </w: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以上，无传染病，无烟疤纹身，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gridAfter w:val="4"/>
                <w:wAfter w:w="4176" w:type="dxa"/>
              </w:trPr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工资待遇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公司实行综合计算工时制，</w:t>
                  </w:r>
                </w:p>
                <w:p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入司第一个月为试用期，满勤收入不低于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2200</w:t>
                  </w: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元，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line="300" w:lineRule="auto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第二个月起转入计时工资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+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奖金体系，按规定支付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小时之外的加班费，设全勤奖、效率及质量等专项奖金，月度满勤综合收入为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2500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元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—3500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元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月，年终发放年终奖；熟练技术工人可达到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元以上；基层班组管理等职位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元～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4500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元以上；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line="300" w:lineRule="auto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每月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日前薪资入个人银行账户。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6" w:type="dxa"/>
              </w:trPr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工作时间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工作时间为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8-10</w:t>
                  </w: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小时，满勤天数为</w:t>
                  </w:r>
                  <w:r>
                    <w:rPr>
                      <w:rFonts w:ascii="宋体" w:hAnsi="宋体"/>
                      <w:kern w:val="2"/>
                      <w:sz w:val="24"/>
                      <w:szCs w:val="24"/>
                    </w:rPr>
                    <w:t>26</w:t>
                  </w: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天，一周至少休一天</w:t>
                  </w:r>
                </w:p>
                <w:p>
                  <w:pPr>
                    <w:adjustRightInd w:val="0"/>
                    <w:snapToGrid w:val="0"/>
                    <w:spacing w:line="300" w:lineRule="auto"/>
                    <w:ind w:firstLine="31680" w:firstLineChars="200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6" w:type="dxa"/>
              </w:trPr>
              <w:tc>
                <w:tcPr>
                  <w:tcW w:w="1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各项福利待遇</w:t>
                  </w:r>
                </w:p>
              </w:tc>
              <w:tc>
                <w:tcPr>
                  <w:tcW w:w="5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公司为员工缴纳保险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每季度发放劳保福利（毛巾，香皂，洗发液等）中秋春节发放福利或购物卡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春节根据员工住地远近由公司提供免费接送或给予路费补贴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集团每年召开一次运动，同时公司不定期组织各类文体活动，丰富员工业余生活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公司为每位过生日员工发放生日蛋糕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每年夏季发放高温补贴，公司提供清凉饮料</w:t>
                  </w:r>
                </w:p>
                <w:p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auto"/>
                    <w:rPr>
                      <w:rFonts w:ascii="宋体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kern w:val="2"/>
                      <w:sz w:val="24"/>
                      <w:szCs w:val="24"/>
                    </w:rPr>
                    <w:t>免费提供工作服。</w:t>
                  </w:r>
                </w:p>
              </w:tc>
            </w:tr>
          </w:tbl>
          <w:p>
            <w:pPr>
              <w:adjustRightInd w:val="0"/>
              <w:snapToGrid w:val="0"/>
              <w:spacing w:line="300" w:lineRule="auto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管理后备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65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技术后备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，机电一体化技术，机械设计与制造，数控技术，制冷与空调技术，电子信息工程技术，计算机应用、机电一体化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2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制造部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，机电一体化技术，机械设计与制造，数控技术，制冷与空调技术，电子信息工程技术，计算机应用、机电一体化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8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组装部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，机电一体化技术，机械设计与制造，数控技术，制冷与空调技术，电子信息工程技术，计算机应用、机电一体化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9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采购部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，机电一体化技术，机械设计与制造，数控技术，制冷与空调技术，电子信息工程技术，计算机应用、机电一体化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8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07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，机电一体化技术，机械设计与制造，数控技术，制冷与空调技术，电子信息工程技术，计算机应用、机电一体化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专业不符可以带新免费培训</w:t>
            </w:r>
          </w:p>
        </w:tc>
      </w:tr>
    </w:tbl>
    <w:p>
      <w:r>
        <w:t>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√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（是√否×）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0086377">
    <w:nsid w:val="612924E9"/>
    <w:multiLevelType w:val="multilevel"/>
    <w:tmpl w:val="612924E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91818657">
    <w:nsid w:val="23466FA1"/>
    <w:multiLevelType w:val="multilevel"/>
    <w:tmpl w:val="23466FA1"/>
    <w:lvl w:ilvl="0" w:tentative="1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591818657"/>
  </w:num>
  <w:num w:numId="2">
    <w:abstractNumId w:val="16300863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231</Words>
  <Characters>1317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2014-09-24T02:50:00Z</dcterms:created>
  <dc:creator>User</dc:creator>
  <cp:lastModifiedBy>Administrator</cp:lastModifiedBy>
  <cp:lastPrinted>2014-09-19T02:59:00Z</cp:lastPrinted>
  <dcterms:modified xsi:type="dcterms:W3CDTF">2014-10-09T08:17:49Z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